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C784" w14:textId="77777777" w:rsidR="00BC20AB" w:rsidRPr="00414422" w:rsidRDefault="00BC20AB" w:rsidP="00BC20AB">
      <w:pPr>
        <w:pStyle w:val="NormlWeb"/>
        <w:spacing w:before="160" w:beforeAutospacing="0" w:after="80" w:afterAutospacing="0"/>
        <w:jc w:val="center"/>
        <w:rPr>
          <w:b/>
          <w:color w:val="000000"/>
          <w:sz w:val="20"/>
          <w:szCs w:val="20"/>
        </w:rPr>
      </w:pPr>
      <w:r w:rsidRPr="00414422">
        <w:rPr>
          <w:b/>
          <w:color w:val="000000"/>
          <w:sz w:val="20"/>
          <w:szCs w:val="20"/>
        </w:rPr>
        <w:t>Közérdekű adatok közzététele</w:t>
      </w:r>
    </w:p>
    <w:p w14:paraId="0593E873" w14:textId="77777777" w:rsidR="00BC20AB" w:rsidRPr="00414422" w:rsidRDefault="00BC20AB" w:rsidP="00BC20AB">
      <w:pPr>
        <w:pStyle w:val="NormlWeb"/>
        <w:spacing w:before="160" w:beforeAutospacing="0" w:after="80" w:afterAutospacing="0"/>
        <w:jc w:val="center"/>
        <w:rPr>
          <w:bCs/>
          <w:color w:val="000000"/>
          <w:sz w:val="20"/>
          <w:szCs w:val="20"/>
        </w:rPr>
      </w:pPr>
      <w:r w:rsidRPr="00414422">
        <w:rPr>
          <w:bCs/>
          <w:color w:val="000000"/>
          <w:sz w:val="20"/>
          <w:szCs w:val="20"/>
        </w:rPr>
        <w:t>a köztulajdonban álló gazdasági társaságok takarékosabb működéséről szóló 2009. évi CXXII. törvény 2. §-a alapján</w:t>
      </w:r>
    </w:p>
    <w:p w14:paraId="164940EC" w14:textId="77777777" w:rsidR="00BC20AB" w:rsidRPr="00414422" w:rsidRDefault="00BC20AB" w:rsidP="00BC20AB">
      <w:pPr>
        <w:pStyle w:val="NormlWeb"/>
        <w:spacing w:before="160" w:beforeAutospacing="0" w:after="8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 xml:space="preserve">1) </w:t>
      </w:r>
      <w:r w:rsidRPr="00414422">
        <w:rPr>
          <w:b/>
          <w:i/>
          <w:color w:val="000000"/>
          <w:sz w:val="20"/>
          <w:szCs w:val="20"/>
        </w:rPr>
        <w:t>A Munka Törvénykönyvéről szóló 2012. évi I. törvény (Mt.) 208. §-a szerinti vezető állású munkavállalók, valamint az önállóan cégjegyzésre vagy a bankszámla feletti rendelkezésre jogosult munkavállalók kapcsán: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2"/>
        <w:gridCol w:w="1235"/>
        <w:gridCol w:w="1146"/>
        <w:gridCol w:w="963"/>
        <w:gridCol w:w="1701"/>
        <w:gridCol w:w="1510"/>
        <w:gridCol w:w="3002"/>
        <w:gridCol w:w="1558"/>
        <w:gridCol w:w="1727"/>
      </w:tblGrid>
      <w:tr w:rsidR="00BC20AB" w:rsidRPr="00414422" w14:paraId="01AA4173" w14:textId="77777777" w:rsidTr="00F373BA">
        <w:tc>
          <w:tcPr>
            <w:tcW w:w="1192" w:type="dxa"/>
          </w:tcPr>
          <w:p w14:paraId="134C599B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235" w:type="dxa"/>
          </w:tcPr>
          <w:p w14:paraId="731647CD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146" w:type="dxa"/>
          </w:tcPr>
          <w:p w14:paraId="38CD8207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963" w:type="dxa"/>
          </w:tcPr>
          <w:p w14:paraId="3F021871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701" w:type="dxa"/>
          </w:tcPr>
          <w:p w14:paraId="4E706EFB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510" w:type="dxa"/>
          </w:tcPr>
          <w:p w14:paraId="4A5E7B69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Időbért megalapozó időtartam (óra)</w:t>
            </w:r>
          </w:p>
        </w:tc>
        <w:tc>
          <w:tcPr>
            <w:tcW w:w="3002" w:type="dxa"/>
          </w:tcPr>
          <w:p w14:paraId="25B13806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Teljesítménybért megalapozó teljesítménykövetelmények</w:t>
            </w:r>
          </w:p>
        </w:tc>
        <w:tc>
          <w:tcPr>
            <w:tcW w:w="1558" w:type="dxa"/>
          </w:tcPr>
          <w:p w14:paraId="1ABEFF98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1727" w:type="dxa"/>
          </w:tcPr>
          <w:p w14:paraId="2C6033A6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BC20AB" w:rsidRPr="00414422" w14:paraId="1602358E" w14:textId="77777777" w:rsidTr="00F373BA">
        <w:tc>
          <w:tcPr>
            <w:tcW w:w="1192" w:type="dxa"/>
          </w:tcPr>
          <w:p w14:paraId="7B9D7998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bookmarkStart w:id="0" w:name="_Hlk536024985"/>
            <w:r w:rsidRPr="00414422">
              <w:rPr>
                <w:bCs/>
                <w:i/>
                <w:color w:val="000000"/>
                <w:sz w:val="20"/>
                <w:szCs w:val="20"/>
              </w:rPr>
              <w:t>Schiszler János</w:t>
            </w:r>
          </w:p>
        </w:tc>
        <w:tc>
          <w:tcPr>
            <w:tcW w:w="1235" w:type="dxa"/>
          </w:tcPr>
          <w:p w14:paraId="634EAB7D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ügyvezető</w:t>
            </w:r>
          </w:p>
        </w:tc>
        <w:tc>
          <w:tcPr>
            <w:tcW w:w="1146" w:type="dxa"/>
          </w:tcPr>
          <w:p w14:paraId="5C15B5BF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megbízási jogviszony(díjazásra nem tart igényt)</w:t>
            </w:r>
          </w:p>
        </w:tc>
        <w:tc>
          <w:tcPr>
            <w:tcW w:w="963" w:type="dxa"/>
          </w:tcPr>
          <w:p w14:paraId="47EA4A56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23298F1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</w:tcPr>
          <w:p w14:paraId="6A2204E7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02" w:type="dxa"/>
          </w:tcPr>
          <w:p w14:paraId="36230A55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14:paraId="79502562" w14:textId="77777777" w:rsidR="00BC20AB" w:rsidRPr="00414422" w:rsidRDefault="00BC20AB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értelmezhető</w:t>
            </w:r>
          </w:p>
        </w:tc>
        <w:tc>
          <w:tcPr>
            <w:tcW w:w="1727" w:type="dxa"/>
            <w:vAlign w:val="center"/>
          </w:tcPr>
          <w:p w14:paraId="12B71DE2" w14:textId="77777777" w:rsidR="00BC20AB" w:rsidRPr="00414422" w:rsidRDefault="00BC20AB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 értelmezhető</w:t>
            </w:r>
          </w:p>
        </w:tc>
      </w:tr>
      <w:tr w:rsidR="00BC20AB" w:rsidRPr="00414422" w14:paraId="5CF444D4" w14:textId="77777777" w:rsidTr="00F373BA">
        <w:tc>
          <w:tcPr>
            <w:tcW w:w="1192" w:type="dxa"/>
          </w:tcPr>
          <w:p w14:paraId="6DCD42E1" w14:textId="7F103AC9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414422">
              <w:rPr>
                <w:bCs/>
                <w:i/>
                <w:color w:val="000000"/>
                <w:sz w:val="20"/>
                <w:szCs w:val="20"/>
              </w:rPr>
              <w:t>Bakos Bálint Feren</w:t>
            </w:r>
            <w:r w:rsidR="00501069">
              <w:rPr>
                <w:bCs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1235" w:type="dxa"/>
          </w:tcPr>
          <w:p w14:paraId="768B97B6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operatív igazgató</w:t>
            </w:r>
          </w:p>
        </w:tc>
        <w:tc>
          <w:tcPr>
            <w:tcW w:w="1146" w:type="dxa"/>
          </w:tcPr>
          <w:p w14:paraId="6448298F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53</w:t>
            </w:r>
            <w:r w:rsidRPr="00414422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63" w:type="dxa"/>
          </w:tcPr>
          <w:p w14:paraId="3F6F4A4F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82A01A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0" w:type="dxa"/>
          </w:tcPr>
          <w:p w14:paraId="4D44D265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02" w:type="dxa"/>
          </w:tcPr>
          <w:p w14:paraId="64485B6F" w14:textId="77777777" w:rsidR="00BC20AB" w:rsidRPr="00414422" w:rsidRDefault="00BC20AB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14:paraId="46E89CFF" w14:textId="77777777" w:rsidR="00BC20AB" w:rsidRPr="00414422" w:rsidRDefault="00BC20AB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64DBBD26" w14:textId="77777777" w:rsidR="00BC20AB" w:rsidRPr="00414422" w:rsidRDefault="00BC20AB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422">
              <w:rPr>
                <w:rFonts w:ascii="Times New Roman" w:hAnsi="Times New Roman" w:cs="Times New Roman"/>
                <w:sz w:val="20"/>
                <w:szCs w:val="20"/>
              </w:rPr>
              <w:t>Mt. 228. § alapján versenytilalmi megállapodás megkötésére nem került sor</w:t>
            </w:r>
          </w:p>
        </w:tc>
      </w:tr>
    </w:tbl>
    <w:p w14:paraId="220153AE" w14:textId="77777777" w:rsidR="00BC20AB" w:rsidRPr="00414422" w:rsidRDefault="00BC20AB" w:rsidP="00BC20A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27F40BCF" w14:textId="77777777" w:rsidR="00BC20AB" w:rsidRPr="00414422" w:rsidRDefault="00BC20AB" w:rsidP="00BC20AB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41442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2)</w:t>
      </w:r>
      <w:r w:rsidRPr="0041442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Másokkal együttesen cégjegyzésre vagy a bankszámla feletti rendelkezésre jogosult munkavállalók, valamint a munkáltató működése szempontjából meghatározó jelentőségű egyéb munkavállalók kapcsán: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BC20AB" w:rsidRPr="00414422" w14:paraId="6D57649E" w14:textId="77777777" w:rsidTr="00F373BA">
        <w:trPr>
          <w:trHeight w:val="915"/>
        </w:trPr>
        <w:tc>
          <w:tcPr>
            <w:tcW w:w="2318" w:type="dxa"/>
            <w:hideMark/>
          </w:tcPr>
          <w:bookmarkEnd w:id="0"/>
          <w:p w14:paraId="5875D69F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3BB7641C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0588518E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59AD5DB8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6AF15154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46C9FC86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4DE98801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13137AB6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BC20AB" w:rsidRPr="00414422" w14:paraId="78ED44AE" w14:textId="77777777" w:rsidTr="00F373BA">
        <w:trPr>
          <w:trHeight w:val="915"/>
        </w:trPr>
        <w:tc>
          <w:tcPr>
            <w:tcW w:w="2318" w:type="dxa"/>
          </w:tcPr>
          <w:p w14:paraId="4CBBECB2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kompetenciaközpont vezető</w:t>
            </w:r>
          </w:p>
        </w:tc>
        <w:tc>
          <w:tcPr>
            <w:tcW w:w="1416" w:type="dxa"/>
          </w:tcPr>
          <w:p w14:paraId="607446B3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730</w:t>
            </w:r>
            <w:r w:rsidRPr="00414422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03" w:type="dxa"/>
          </w:tcPr>
          <w:p w14:paraId="67C9194A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8DC2B0A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216BDB7A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41CF9DAE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</w:tcPr>
          <w:p w14:paraId="54E0E531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52C55F7E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BC20AB" w:rsidRPr="00414422" w14:paraId="563D7ED7" w14:textId="77777777" w:rsidTr="00F373BA">
        <w:trPr>
          <w:trHeight w:val="915"/>
        </w:trPr>
        <w:tc>
          <w:tcPr>
            <w:tcW w:w="2318" w:type="dxa"/>
          </w:tcPr>
          <w:p w14:paraId="4170B43B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14422">
              <w:rPr>
                <w:i/>
                <w:iCs/>
                <w:color w:val="000000"/>
                <w:sz w:val="20"/>
                <w:szCs w:val="20"/>
              </w:rPr>
              <w:t>operatív igazgató</w:t>
            </w:r>
          </w:p>
        </w:tc>
        <w:tc>
          <w:tcPr>
            <w:tcW w:w="1416" w:type="dxa"/>
          </w:tcPr>
          <w:p w14:paraId="1BBF205D" w14:textId="77777777" w:rsidR="00BC20AB" w:rsidRPr="00414422" w:rsidRDefault="00BC20AB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53</w:t>
            </w:r>
            <w:r w:rsidRPr="00414422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03" w:type="dxa"/>
          </w:tcPr>
          <w:p w14:paraId="0E495CF7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14:paraId="2F8026A7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14:paraId="6257B3FA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</w:tcPr>
          <w:p w14:paraId="59A05975" w14:textId="77777777" w:rsidR="00BC20AB" w:rsidRPr="00414422" w:rsidRDefault="00BC20AB" w:rsidP="00F373BA">
            <w:pPr>
              <w:pStyle w:val="NormlWeb"/>
              <w:spacing w:after="20"/>
              <w:jc w:val="center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14:paraId="7794BCF6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14422">
              <w:rPr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vAlign w:val="center"/>
          </w:tcPr>
          <w:p w14:paraId="202212F2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14422">
              <w:rPr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BC20AB" w:rsidRPr="00414422" w14:paraId="00A3B9A1" w14:textId="77777777" w:rsidTr="00F373BA">
        <w:trPr>
          <w:trHeight w:val="735"/>
        </w:trPr>
        <w:tc>
          <w:tcPr>
            <w:tcW w:w="2318" w:type="dxa"/>
            <w:hideMark/>
          </w:tcPr>
          <w:p w14:paraId="1037EF66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p</w:t>
            </w:r>
            <w:r w:rsidRPr="00414422">
              <w:rPr>
                <w:i/>
                <w:iCs/>
                <w:color w:val="000000"/>
                <w:sz w:val="20"/>
                <w:szCs w:val="20"/>
                <w:lang w:eastAsia="en-US"/>
              </w:rPr>
              <w:t>énzügyi osztályvezető</w:t>
            </w:r>
          </w:p>
        </w:tc>
        <w:tc>
          <w:tcPr>
            <w:tcW w:w="1416" w:type="dxa"/>
            <w:hideMark/>
          </w:tcPr>
          <w:p w14:paraId="4CE7E81B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          -</w:t>
            </w:r>
          </w:p>
          <w:p w14:paraId="77C03BA8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hideMark/>
          </w:tcPr>
          <w:p w14:paraId="24BD92CB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620" w:type="dxa"/>
            <w:hideMark/>
          </w:tcPr>
          <w:p w14:paraId="17B54BD7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410" w:type="dxa"/>
            <w:hideMark/>
          </w:tcPr>
          <w:p w14:paraId="212B45A2" w14:textId="77777777" w:rsidR="00BC20AB" w:rsidRPr="00414422" w:rsidRDefault="00BC20AB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737" w:type="dxa"/>
            <w:hideMark/>
          </w:tcPr>
          <w:p w14:paraId="141B191E" w14:textId="77777777" w:rsidR="00BC20AB" w:rsidRPr="00414422" w:rsidRDefault="00BC20AB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1547" w:type="dxa"/>
            <w:hideMark/>
          </w:tcPr>
          <w:p w14:paraId="6E9F4F64" w14:textId="77777777" w:rsidR="00BC20AB" w:rsidRPr="00414422" w:rsidRDefault="00BC20AB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70B591B5" w14:textId="77777777" w:rsidR="00BC20AB" w:rsidRPr="00414422" w:rsidRDefault="00BC20AB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BC20AB" w:rsidRPr="00414422" w14:paraId="2AA1C6B4" w14:textId="77777777" w:rsidTr="00F373BA">
        <w:trPr>
          <w:trHeight w:val="735"/>
        </w:trPr>
        <w:tc>
          <w:tcPr>
            <w:tcW w:w="2318" w:type="dxa"/>
            <w:hideMark/>
          </w:tcPr>
          <w:p w14:paraId="2415061E" w14:textId="77777777" w:rsidR="00BC20AB" w:rsidRPr="00414422" w:rsidRDefault="00BC20AB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vezető számviteli szakértő</w:t>
            </w:r>
          </w:p>
        </w:tc>
        <w:tc>
          <w:tcPr>
            <w:tcW w:w="1416" w:type="dxa"/>
            <w:hideMark/>
          </w:tcPr>
          <w:p w14:paraId="55988251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56CC4576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7591B4E7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71D5F77A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38840360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3B823DB0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0E854B2D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C20AB" w:rsidRPr="00414422" w14:paraId="0BF774CF" w14:textId="77777777" w:rsidTr="00F373BA">
        <w:trPr>
          <w:trHeight w:val="735"/>
        </w:trPr>
        <w:tc>
          <w:tcPr>
            <w:tcW w:w="2318" w:type="dxa"/>
            <w:hideMark/>
          </w:tcPr>
          <w:p w14:paraId="1B50BA90" w14:textId="77777777" w:rsidR="00BC20AB" w:rsidRPr="00414422" w:rsidRDefault="00BC20AB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számviteli osztályvezető</w:t>
            </w:r>
          </w:p>
        </w:tc>
        <w:tc>
          <w:tcPr>
            <w:tcW w:w="1416" w:type="dxa"/>
            <w:hideMark/>
          </w:tcPr>
          <w:p w14:paraId="0311F19F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626F02ED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7D037B5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69F60407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1E056240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4F9705B2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6FC24C56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C20AB" w:rsidRPr="00414422" w14:paraId="1F7D9981" w14:textId="77777777" w:rsidTr="00F373BA">
        <w:trPr>
          <w:trHeight w:val="735"/>
        </w:trPr>
        <w:tc>
          <w:tcPr>
            <w:tcW w:w="2318" w:type="dxa"/>
            <w:hideMark/>
          </w:tcPr>
          <w:p w14:paraId="2F48DC87" w14:textId="77777777" w:rsidR="00BC20AB" w:rsidRPr="00414422" w:rsidRDefault="00BC20AB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számviteli üzemgazdász</w:t>
            </w:r>
          </w:p>
        </w:tc>
        <w:tc>
          <w:tcPr>
            <w:tcW w:w="1416" w:type="dxa"/>
            <w:hideMark/>
          </w:tcPr>
          <w:p w14:paraId="1940EAC8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6A7BB5EC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26FF1293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22786433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7FA8C759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08F4A4D6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2C6450D4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C20AB" w:rsidRPr="00414422" w14:paraId="2D451A1E" w14:textId="77777777" w:rsidTr="00F373BA">
        <w:trPr>
          <w:trHeight w:val="735"/>
        </w:trPr>
        <w:tc>
          <w:tcPr>
            <w:tcW w:w="2318" w:type="dxa"/>
            <w:hideMark/>
          </w:tcPr>
          <w:p w14:paraId="30769E17" w14:textId="77777777" w:rsidR="00BC20AB" w:rsidRPr="00414422" w:rsidRDefault="00BC20AB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pénzügyi előadó</w:t>
            </w:r>
          </w:p>
        </w:tc>
        <w:tc>
          <w:tcPr>
            <w:tcW w:w="1416" w:type="dxa"/>
            <w:hideMark/>
          </w:tcPr>
          <w:p w14:paraId="519BA2FC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5AC87416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71A6853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2B212D6B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32D81F9D" w14:textId="77777777" w:rsidR="00BC20AB" w:rsidRPr="00414422" w:rsidRDefault="00BC20AB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2841974A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7755AFC5" w14:textId="77777777" w:rsidR="00BC20AB" w:rsidRPr="00414422" w:rsidRDefault="00BC20AB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14422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BC20AB" w:rsidRPr="00414422" w14:paraId="254837E4" w14:textId="77777777" w:rsidTr="00F373BA">
        <w:trPr>
          <w:trHeight w:val="495"/>
        </w:trPr>
        <w:tc>
          <w:tcPr>
            <w:tcW w:w="2318" w:type="dxa"/>
            <w:hideMark/>
          </w:tcPr>
          <w:p w14:paraId="4F07CCFC" w14:textId="77777777" w:rsidR="00BC20AB" w:rsidRPr="00414422" w:rsidRDefault="00BC20AB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pénzügyi előadó</w:t>
            </w:r>
          </w:p>
        </w:tc>
        <w:tc>
          <w:tcPr>
            <w:tcW w:w="1416" w:type="dxa"/>
            <w:hideMark/>
          </w:tcPr>
          <w:p w14:paraId="794FC273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03E3ACFE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50703F73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7D3EFAF0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742DB30F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183B399E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331E1CEB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BC20AB" w:rsidRPr="00414422" w14:paraId="64989249" w14:textId="77777777" w:rsidTr="00F373BA">
        <w:trPr>
          <w:trHeight w:val="495"/>
        </w:trPr>
        <w:tc>
          <w:tcPr>
            <w:tcW w:w="2318" w:type="dxa"/>
            <w:hideMark/>
          </w:tcPr>
          <w:p w14:paraId="5E94FB78" w14:textId="77777777" w:rsidR="00BC20AB" w:rsidRPr="00414422" w:rsidRDefault="00BC20AB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  <w:hideMark/>
          </w:tcPr>
          <w:p w14:paraId="14801C0A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11C05F43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1C134696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2A87B9A4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33E9978E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2367E74C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642117BD" w14:textId="77777777" w:rsidR="00BC20AB" w:rsidRPr="00414422" w:rsidRDefault="00BC20AB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4144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Pr="00414422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91E89A1" w14:textId="77777777" w:rsidR="00B57FCE" w:rsidRPr="00414422" w:rsidRDefault="005E2C70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>3</w:t>
      </w:r>
      <w:r w:rsidR="00042DEE" w:rsidRPr="00414422">
        <w:rPr>
          <w:color w:val="000000"/>
          <w:sz w:val="20"/>
          <w:szCs w:val="20"/>
        </w:rPr>
        <w:t xml:space="preserve">) </w:t>
      </w:r>
      <w:r w:rsidR="00042DEE" w:rsidRPr="00414422">
        <w:rPr>
          <w:b/>
          <w:i/>
          <w:color w:val="000000"/>
          <w:sz w:val="20"/>
          <w:szCs w:val="20"/>
        </w:rPr>
        <w:t>M</w:t>
      </w:r>
      <w:r w:rsidR="00B57FCE" w:rsidRPr="00414422">
        <w:rPr>
          <w:b/>
          <w:i/>
          <w:color w:val="000000"/>
          <w:sz w:val="20"/>
          <w:szCs w:val="20"/>
        </w:rPr>
        <w:t>egbízási jogviszonnyal rendelkező veze</w:t>
      </w:r>
      <w:r w:rsidRPr="00414422">
        <w:rPr>
          <w:b/>
          <w:i/>
          <w:color w:val="000000"/>
          <w:sz w:val="20"/>
          <w:szCs w:val="20"/>
        </w:rPr>
        <w:t>tő tisztségviselők</w:t>
      </w:r>
      <w:r w:rsidR="00B57FCE" w:rsidRPr="00414422">
        <w:rPr>
          <w:b/>
          <w:i/>
          <w:color w:val="000000"/>
          <w:sz w:val="20"/>
          <w:szCs w:val="20"/>
        </w:rPr>
        <w:t>, valam</w:t>
      </w:r>
      <w:r w:rsidR="00156B62" w:rsidRPr="00414422">
        <w:rPr>
          <w:b/>
          <w:i/>
          <w:color w:val="000000"/>
          <w:sz w:val="20"/>
          <w:szCs w:val="20"/>
        </w:rPr>
        <w:t xml:space="preserve">int a felügyelőbizottsági </w:t>
      </w:r>
      <w:r w:rsidR="00750728" w:rsidRPr="00414422">
        <w:rPr>
          <w:b/>
          <w:i/>
          <w:color w:val="000000"/>
          <w:sz w:val="20"/>
          <w:szCs w:val="20"/>
        </w:rPr>
        <w:t>tagok kapcsán</w:t>
      </w:r>
      <w:r w:rsidR="00156B62" w:rsidRPr="00414422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81"/>
        <w:gridCol w:w="2409"/>
        <w:gridCol w:w="2381"/>
        <w:gridCol w:w="4962"/>
      </w:tblGrid>
      <w:tr w:rsidR="00AF3FCB" w:rsidRPr="00414422" w14:paraId="49377BEC" w14:textId="77777777" w:rsidTr="009717D8">
        <w:tc>
          <w:tcPr>
            <w:tcW w:w="1701" w:type="dxa"/>
          </w:tcPr>
          <w:p w14:paraId="6304BA1B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2581" w:type="dxa"/>
          </w:tcPr>
          <w:p w14:paraId="47649C23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2409" w:type="dxa"/>
          </w:tcPr>
          <w:p w14:paraId="79C6CDFE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 xml:space="preserve">Megbízási díj </w:t>
            </w:r>
          </w:p>
        </w:tc>
        <w:tc>
          <w:tcPr>
            <w:tcW w:w="2381" w:type="dxa"/>
          </w:tcPr>
          <w:p w14:paraId="5AD97CF6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Megbízási díjon felüli egyéb járandóságok</w:t>
            </w:r>
          </w:p>
        </w:tc>
        <w:tc>
          <w:tcPr>
            <w:tcW w:w="4962" w:type="dxa"/>
          </w:tcPr>
          <w:p w14:paraId="649BD496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Jogviszony megszűnése esetén járó pénzbeli juttatások</w:t>
            </w:r>
          </w:p>
        </w:tc>
      </w:tr>
      <w:tr w:rsidR="00AF3FCB" w:rsidRPr="00414422" w14:paraId="49A941EA" w14:textId="77777777" w:rsidTr="009717D8">
        <w:tc>
          <w:tcPr>
            <w:tcW w:w="1701" w:type="dxa"/>
          </w:tcPr>
          <w:p w14:paraId="7099E91E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Mandelik Ágnes</w:t>
            </w:r>
          </w:p>
        </w:tc>
        <w:tc>
          <w:tcPr>
            <w:tcW w:w="2581" w:type="dxa"/>
          </w:tcPr>
          <w:p w14:paraId="5B9122AD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felügyelőbizottsági elnök</w:t>
            </w:r>
          </w:p>
        </w:tc>
        <w:tc>
          <w:tcPr>
            <w:tcW w:w="2409" w:type="dxa"/>
          </w:tcPr>
          <w:p w14:paraId="69EC2D92" w14:textId="1C5F6866" w:rsidR="00AF3FCB" w:rsidRPr="00414422" w:rsidRDefault="00D44EE1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 Ft</w:t>
            </w:r>
          </w:p>
        </w:tc>
        <w:tc>
          <w:tcPr>
            <w:tcW w:w="2381" w:type="dxa"/>
          </w:tcPr>
          <w:p w14:paraId="249D3B5E" w14:textId="6C7568BF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3EFB4C41" w14:textId="5AA9A3DF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3FCB" w:rsidRPr="00414422" w14:paraId="53A8CCCA" w14:textId="77777777" w:rsidTr="009717D8">
        <w:tc>
          <w:tcPr>
            <w:tcW w:w="1701" w:type="dxa"/>
          </w:tcPr>
          <w:p w14:paraId="7D5281D9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Sziveri János</w:t>
            </w:r>
          </w:p>
        </w:tc>
        <w:tc>
          <w:tcPr>
            <w:tcW w:w="2581" w:type="dxa"/>
          </w:tcPr>
          <w:p w14:paraId="614C6BD9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2409" w:type="dxa"/>
          </w:tcPr>
          <w:p w14:paraId="4BD25426" w14:textId="6F809BC8" w:rsidR="00AF3FCB" w:rsidRPr="00414422" w:rsidRDefault="00402308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díjazásra nem tart igényt</w:t>
            </w:r>
          </w:p>
        </w:tc>
        <w:tc>
          <w:tcPr>
            <w:tcW w:w="2381" w:type="dxa"/>
          </w:tcPr>
          <w:p w14:paraId="5EF31A5B" w14:textId="6F404DF6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F470C1F" w14:textId="4F285DF7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3FCB" w:rsidRPr="00414422" w14:paraId="415C3049" w14:textId="77777777" w:rsidTr="009717D8">
        <w:tc>
          <w:tcPr>
            <w:tcW w:w="1701" w:type="dxa"/>
          </w:tcPr>
          <w:p w14:paraId="0DC53ED2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Polgár Zoltán</w:t>
            </w:r>
          </w:p>
        </w:tc>
        <w:tc>
          <w:tcPr>
            <w:tcW w:w="2581" w:type="dxa"/>
          </w:tcPr>
          <w:p w14:paraId="6307C52B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2409" w:type="dxa"/>
          </w:tcPr>
          <w:p w14:paraId="3C23FC61" w14:textId="77777777" w:rsidR="00AF3FCB" w:rsidRPr="00414422" w:rsidRDefault="00AF3FCB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90.000 Ft</w:t>
            </w:r>
          </w:p>
        </w:tc>
        <w:tc>
          <w:tcPr>
            <w:tcW w:w="2381" w:type="dxa"/>
          </w:tcPr>
          <w:p w14:paraId="4B95F572" w14:textId="10FBC9D6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52F5F8F2" w14:textId="267AC6C6" w:rsidR="00AF3FCB" w:rsidRPr="00414422" w:rsidRDefault="00EA77C2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414422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FF93CA3" w14:textId="77777777" w:rsidR="00AB5821" w:rsidRPr="00414422" w:rsidRDefault="00AB5821" w:rsidP="005E2C70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42AB0DA8" w14:textId="1ACE8828" w:rsidR="00512AEF" w:rsidRPr="00414422" w:rsidRDefault="00156B62" w:rsidP="00512AEF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14422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4)</w:t>
      </w:r>
      <w:r w:rsidRPr="0041442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</w:t>
      </w:r>
      <w:r w:rsidR="00512AEF" w:rsidRPr="0041442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>A T</w:t>
      </w:r>
      <w:r w:rsidR="00512AEF" w:rsidRPr="00414422">
        <w:rPr>
          <w:rFonts w:ascii="Times New Roman" w:hAnsi="Times New Roman" w:cs="Times New Roman"/>
          <w:b/>
          <w:i/>
          <w:color w:val="000000"/>
          <w:sz w:val="20"/>
          <w:szCs w:val="2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3737BB3A" w14:textId="77777777" w:rsidR="00512AEF" w:rsidRPr="00414422" w:rsidRDefault="00512AEF" w:rsidP="00512AEF">
      <w:pPr>
        <w:pStyle w:val="NormlWeb"/>
        <w:spacing w:before="0" w:beforeAutospacing="0" w:after="20" w:afterAutospacing="0"/>
        <w:ind w:firstLine="180"/>
        <w:jc w:val="both"/>
        <w:rPr>
          <w:sz w:val="20"/>
          <w:szCs w:val="20"/>
        </w:rPr>
      </w:pP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650"/>
        <w:gridCol w:w="3544"/>
        <w:gridCol w:w="3119"/>
        <w:gridCol w:w="2551"/>
        <w:gridCol w:w="2098"/>
      </w:tblGrid>
      <w:tr w:rsidR="00512AEF" w14:paraId="734ABBA6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7B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Szerződés megnevezése (típusa)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30B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tárgya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67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Szerződést kötő felek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63B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értéke (nettó Ft / év) 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9025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Szerződés időtartama</w:t>
            </w:r>
          </w:p>
        </w:tc>
      </w:tr>
      <w:tr w:rsidR="00512AEF" w14:paraId="1455E0C7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1D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1" w:name="_Hlk42761673"/>
            <w:r>
              <w:rPr>
                <w:color w:val="000000"/>
                <w:sz w:val="20"/>
                <w:szCs w:val="20"/>
                <w:lang w:eastAsia="en-US"/>
              </w:rPr>
              <w:t>Szoftverbérleti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3330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Microsoft licence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71C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MAGYAR TELEKOM NYRT.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32BB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81 209 257 Ft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2FEA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2022. január 20.</w:t>
            </w:r>
          </w:p>
        </w:tc>
      </w:tr>
      <w:tr w:rsidR="00512AEF" w14:paraId="3BA52CCA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F1A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Bérleti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AAE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Ingatlan bérleti és üzemeltetési díj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A27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K1K2 INGATLANHASZNOSÍTÓ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6D20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52 493 964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97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2022. december 31.</w:t>
            </w:r>
          </w:p>
        </w:tc>
      </w:tr>
      <w:tr w:rsidR="00512AEF" w14:paraId="1D4D9FFE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1D52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A7C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Rendszertámogatás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9690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LOGESZ INFORMATIKAI TANÁCSADÓ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117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55 000 000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58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 idejű</w:t>
            </w:r>
          </w:p>
        </w:tc>
      </w:tr>
      <w:tr w:rsidR="00512AEF" w14:paraId="6EC07920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9F1A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B6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Rendszerfejlesztés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81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LOGESZ INFORMATIKAI TANÁCSADÓ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F6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C1D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 idejű</w:t>
            </w:r>
          </w:p>
        </w:tc>
      </w:tr>
      <w:tr w:rsidR="00512AEF" w14:paraId="6380D4CF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C399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Szolgáltatási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B1E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Adminisztrációs szolgáltatás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C549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DÍJBESZEDŐ HOLDING ZRT.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73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42 176 563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86E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 idejű</w:t>
            </w:r>
          </w:p>
        </w:tc>
      </w:tr>
      <w:tr w:rsidR="00512AEF" w14:paraId="7D662EE0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E2A9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Bérleti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8F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Ingatlan bérleti és üzemeltetési díj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2045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DÍJBESZEDŐ HOLDING ZRT.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E9C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26 660 448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7B0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 idejű</w:t>
            </w:r>
          </w:p>
        </w:tc>
        <w:bookmarkEnd w:id="1"/>
      </w:tr>
      <w:tr w:rsidR="00512AEF" w14:paraId="104865AB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5344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65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Mobil applikáció support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6AE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OTT-ONE NYRT.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B0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85E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2022. február 28.</w:t>
            </w:r>
          </w:p>
        </w:tc>
      </w:tr>
      <w:tr w:rsidR="00512AEF" w14:paraId="52507B3D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A9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8E8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Fizetési tranzakciók utáni jutalék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54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MAGYAR POSTA ZRT.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AC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C2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  <w:tr w:rsidR="00512AEF" w14:paraId="62DEC233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769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Szolgáltatói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38B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Telekommunikációs szolgáltatás (adat)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0C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INVITECH ICT SERVICES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08A8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5E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2022. február 15.</w:t>
            </w:r>
          </w:p>
        </w:tc>
      </w:tr>
      <w:tr w:rsidR="00512AEF" w14:paraId="712887EC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A1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59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Határvédelmi szakértő (mérnökóra)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77B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INTER-COMPUTER INFORMATIKAI ZRT.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0AE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797C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2021. május 31.</w:t>
            </w:r>
          </w:p>
        </w:tc>
      </w:tr>
      <w:tr w:rsidR="00512AEF" w14:paraId="1B7A1B14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6EEE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Szolgáltatói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8697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Telefon és mobilinternet előfizetés, forgalmi díj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186F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MAGYAR TELEKOM NYRT.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4266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Keretszerződés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85B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határozatlan</w:t>
            </w:r>
          </w:p>
        </w:tc>
      </w:tr>
      <w:tr w:rsidR="00512AEF" w14:paraId="22349094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6F2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Vállalkozási szerződés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19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Sw update license &amp; support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01C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Oracle Hungary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DB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23 944 114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23D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2021.12.31</w:t>
            </w:r>
          </w:p>
        </w:tc>
      </w:tr>
      <w:tr w:rsidR="00512AEF" w14:paraId="2F08F2E9" w14:textId="77777777" w:rsidTr="00473D05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F4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Beruházási megrendelés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103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Informatikai eszközbeszerzés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61C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Delta Systems Kft.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7BB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39 164 429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651" w14:textId="77777777" w:rsidR="00512AEF" w:rsidRDefault="00512AEF" w:rsidP="00473D05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Egyszeri beruházási beszerzés</w:t>
            </w:r>
          </w:p>
        </w:tc>
      </w:tr>
    </w:tbl>
    <w:p w14:paraId="65750F82" w14:textId="77777777" w:rsidR="00E52019" w:rsidRPr="00414422" w:rsidRDefault="00E52019" w:rsidP="00E52019">
      <w:pPr>
        <w:pStyle w:val="NormlWeb"/>
        <w:spacing w:before="0" w:beforeAutospacing="0" w:after="20" w:afterAutospacing="0"/>
        <w:ind w:firstLine="180"/>
        <w:jc w:val="both"/>
        <w:rPr>
          <w:sz w:val="20"/>
          <w:szCs w:val="20"/>
        </w:rPr>
      </w:pPr>
    </w:p>
    <w:p w14:paraId="5AA0A3BD" w14:textId="77777777" w:rsidR="00E52019" w:rsidRPr="00414422" w:rsidRDefault="00E52019" w:rsidP="00550BA4">
      <w:pPr>
        <w:pStyle w:val="NormlWeb"/>
        <w:spacing w:before="0" w:beforeAutospacing="0" w:after="20" w:afterAutospacing="0"/>
        <w:ind w:firstLine="180"/>
        <w:jc w:val="both"/>
        <w:rPr>
          <w:sz w:val="20"/>
          <w:szCs w:val="20"/>
        </w:rPr>
      </w:pPr>
    </w:p>
    <w:p w14:paraId="4F4CC610" w14:textId="77777777" w:rsidR="00550BA4" w:rsidRPr="00414422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>*</w:t>
      </w:r>
      <w:r w:rsidR="00550BA4" w:rsidRPr="00414422">
        <w:rPr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Pr="00414422" w:rsidRDefault="006B1D30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525C76F3" w14:textId="77777777" w:rsidR="005E2C70" w:rsidRPr="00414422" w:rsidRDefault="00750728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  <w:u w:val="single"/>
        </w:rPr>
        <w:t>A 2009. évi CXXII. törvény v</w:t>
      </w:r>
      <w:r w:rsidR="005E2C70" w:rsidRPr="00414422">
        <w:rPr>
          <w:color w:val="000000"/>
          <w:sz w:val="20"/>
          <w:szCs w:val="20"/>
          <w:u w:val="single"/>
        </w:rPr>
        <w:t>onatkozó</w:t>
      </w:r>
      <w:r w:rsidRPr="00414422">
        <w:rPr>
          <w:color w:val="000000"/>
          <w:sz w:val="20"/>
          <w:szCs w:val="20"/>
          <w:u w:val="single"/>
        </w:rPr>
        <w:t xml:space="preserve"> egyéb rendelkezései</w:t>
      </w:r>
      <w:r w:rsidRPr="00414422">
        <w:rPr>
          <w:color w:val="000000"/>
          <w:sz w:val="20"/>
          <w:szCs w:val="20"/>
        </w:rPr>
        <w:t>:</w:t>
      </w:r>
      <w:r w:rsidR="005E2C70" w:rsidRPr="00414422">
        <w:rPr>
          <w:color w:val="000000"/>
          <w:sz w:val="20"/>
          <w:szCs w:val="20"/>
        </w:rPr>
        <w:t xml:space="preserve"> </w:t>
      </w:r>
    </w:p>
    <w:p w14:paraId="404C3C57" w14:textId="77777777" w:rsidR="00750728" w:rsidRPr="00414422" w:rsidRDefault="00750728" w:rsidP="00156B62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47B3BD4E" w14:textId="77777777" w:rsidR="00540863" w:rsidRPr="00414422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 xml:space="preserve">A </w:t>
      </w:r>
      <w:r w:rsidR="00BB75D9" w:rsidRPr="00414422">
        <w:rPr>
          <w:color w:val="000000"/>
          <w:sz w:val="20"/>
          <w:szCs w:val="20"/>
        </w:rPr>
        <w:t>szerződésekre vonatkozó nyilvánosságra</w:t>
      </w:r>
      <w:r w:rsidRPr="00414422">
        <w:rPr>
          <w:color w:val="000000"/>
          <w:sz w:val="20"/>
          <w:szCs w:val="20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414422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414422">
        <w:rPr>
          <w:color w:val="000000"/>
          <w:sz w:val="20"/>
          <w:szCs w:val="20"/>
        </w:rPr>
        <w:t>közzétételt követő két év</w:t>
      </w:r>
      <w:r w:rsidRPr="00414422">
        <w:rPr>
          <w:color w:val="000000"/>
          <w:sz w:val="20"/>
          <w:szCs w:val="20"/>
        </w:rPr>
        <w:t xml:space="preserve"> időtartamon belüli folyamatos hozzáférhetőségéről a jogutód vezetője gondoskodik.</w:t>
      </w:r>
    </w:p>
    <w:p w14:paraId="1B60FD28" w14:textId="77777777" w:rsidR="00550BA4" w:rsidRPr="00414422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>A közzététel elmulasztása esetén, továbbá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414422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t xml:space="preserve">Az </w:t>
      </w:r>
      <w:r w:rsidR="00BB75D9" w:rsidRPr="00414422">
        <w:rPr>
          <w:color w:val="000000"/>
          <w:sz w:val="20"/>
          <w:szCs w:val="20"/>
        </w:rPr>
        <w:t>közzétételi</w:t>
      </w:r>
      <w:r w:rsidRPr="00414422">
        <w:rPr>
          <w:color w:val="000000"/>
          <w:sz w:val="20"/>
          <w:szCs w:val="20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17190C09" w14:textId="77777777" w:rsidR="00550BA4" w:rsidRPr="00414422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414422">
        <w:rPr>
          <w:color w:val="000000"/>
          <w:sz w:val="20"/>
          <w:szCs w:val="20"/>
        </w:rPr>
        <w:lastRenderedPageBreak/>
        <w:t xml:space="preserve">A </w:t>
      </w:r>
      <w:r w:rsidR="00BB75D9" w:rsidRPr="00414422">
        <w:rPr>
          <w:color w:val="000000"/>
          <w:sz w:val="20"/>
          <w:szCs w:val="20"/>
        </w:rPr>
        <w:t>szerződésekre vonatkozó közzétételi</w:t>
      </w:r>
      <w:r w:rsidRPr="00414422">
        <w:rPr>
          <w:color w:val="000000"/>
          <w:sz w:val="20"/>
          <w:szCs w:val="20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p w14:paraId="36EF733C" w14:textId="77777777" w:rsidR="00550BA4" w:rsidRPr="00414422" w:rsidRDefault="00550BA4" w:rsidP="005E2C70">
      <w:pPr>
        <w:rPr>
          <w:rFonts w:ascii="Times New Roman" w:hAnsi="Times New Roman" w:cs="Times New Roman"/>
          <w:sz w:val="20"/>
          <w:szCs w:val="20"/>
        </w:rPr>
      </w:pPr>
    </w:p>
    <w:sectPr w:rsidR="00550BA4" w:rsidRPr="00414422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223C9"/>
    <w:rsid w:val="00042DEE"/>
    <w:rsid w:val="0006314A"/>
    <w:rsid w:val="00071FB5"/>
    <w:rsid w:val="000859E2"/>
    <w:rsid w:val="000B5578"/>
    <w:rsid w:val="000C0ADC"/>
    <w:rsid w:val="000E64EC"/>
    <w:rsid w:val="000F45FF"/>
    <w:rsid w:val="000F7BF4"/>
    <w:rsid w:val="00142D93"/>
    <w:rsid w:val="00156B62"/>
    <w:rsid w:val="001E0321"/>
    <w:rsid w:val="00207919"/>
    <w:rsid w:val="002804B4"/>
    <w:rsid w:val="00303833"/>
    <w:rsid w:val="0030666A"/>
    <w:rsid w:val="00310921"/>
    <w:rsid w:val="003458C3"/>
    <w:rsid w:val="00392BE9"/>
    <w:rsid w:val="003B225A"/>
    <w:rsid w:val="003B3E08"/>
    <w:rsid w:val="003C6151"/>
    <w:rsid w:val="003F3954"/>
    <w:rsid w:val="00402308"/>
    <w:rsid w:val="00407A52"/>
    <w:rsid w:val="00407D77"/>
    <w:rsid w:val="00414422"/>
    <w:rsid w:val="00431626"/>
    <w:rsid w:val="004323BE"/>
    <w:rsid w:val="00464D48"/>
    <w:rsid w:val="0046633B"/>
    <w:rsid w:val="00474D91"/>
    <w:rsid w:val="004766D2"/>
    <w:rsid w:val="004C6B3F"/>
    <w:rsid w:val="004D394F"/>
    <w:rsid w:val="004E1362"/>
    <w:rsid w:val="004E6363"/>
    <w:rsid w:val="004F50D7"/>
    <w:rsid w:val="00501069"/>
    <w:rsid w:val="00512AEF"/>
    <w:rsid w:val="005215EB"/>
    <w:rsid w:val="00523DD7"/>
    <w:rsid w:val="00540863"/>
    <w:rsid w:val="00550BA4"/>
    <w:rsid w:val="005973F9"/>
    <w:rsid w:val="005A53DA"/>
    <w:rsid w:val="005C0DE0"/>
    <w:rsid w:val="005E2C70"/>
    <w:rsid w:val="00625D97"/>
    <w:rsid w:val="006345AC"/>
    <w:rsid w:val="00666909"/>
    <w:rsid w:val="00674E89"/>
    <w:rsid w:val="006B1D30"/>
    <w:rsid w:val="006B593F"/>
    <w:rsid w:val="006C0659"/>
    <w:rsid w:val="006C6258"/>
    <w:rsid w:val="006D0F42"/>
    <w:rsid w:val="006E78D8"/>
    <w:rsid w:val="00703728"/>
    <w:rsid w:val="00714481"/>
    <w:rsid w:val="00715797"/>
    <w:rsid w:val="00721F9E"/>
    <w:rsid w:val="00750728"/>
    <w:rsid w:val="00766149"/>
    <w:rsid w:val="007B07A4"/>
    <w:rsid w:val="007B2A74"/>
    <w:rsid w:val="007D04B5"/>
    <w:rsid w:val="00807A73"/>
    <w:rsid w:val="008147A3"/>
    <w:rsid w:val="00836EEB"/>
    <w:rsid w:val="00841A0F"/>
    <w:rsid w:val="00883BC9"/>
    <w:rsid w:val="008A4D98"/>
    <w:rsid w:val="008B40D0"/>
    <w:rsid w:val="008E02AD"/>
    <w:rsid w:val="00942813"/>
    <w:rsid w:val="009571B2"/>
    <w:rsid w:val="00987FA1"/>
    <w:rsid w:val="009A33C8"/>
    <w:rsid w:val="009A6B31"/>
    <w:rsid w:val="009B1E0B"/>
    <w:rsid w:val="009B3C35"/>
    <w:rsid w:val="009C0FE7"/>
    <w:rsid w:val="009D6105"/>
    <w:rsid w:val="00A03225"/>
    <w:rsid w:val="00A21499"/>
    <w:rsid w:val="00A53C20"/>
    <w:rsid w:val="00A86768"/>
    <w:rsid w:val="00A968BE"/>
    <w:rsid w:val="00AB5821"/>
    <w:rsid w:val="00AC2891"/>
    <w:rsid w:val="00AC2CB0"/>
    <w:rsid w:val="00AD6D44"/>
    <w:rsid w:val="00AE2B03"/>
    <w:rsid w:val="00AF3FCB"/>
    <w:rsid w:val="00B302BA"/>
    <w:rsid w:val="00B547FF"/>
    <w:rsid w:val="00B553BA"/>
    <w:rsid w:val="00B57FCE"/>
    <w:rsid w:val="00B77485"/>
    <w:rsid w:val="00BB75D9"/>
    <w:rsid w:val="00BC20AB"/>
    <w:rsid w:val="00BC3DCD"/>
    <w:rsid w:val="00BD3029"/>
    <w:rsid w:val="00BD670C"/>
    <w:rsid w:val="00BF248D"/>
    <w:rsid w:val="00BF516F"/>
    <w:rsid w:val="00C11974"/>
    <w:rsid w:val="00C13B24"/>
    <w:rsid w:val="00C215C7"/>
    <w:rsid w:val="00C8273B"/>
    <w:rsid w:val="00CC562E"/>
    <w:rsid w:val="00CC6577"/>
    <w:rsid w:val="00CE3494"/>
    <w:rsid w:val="00CE4D47"/>
    <w:rsid w:val="00CE5F1F"/>
    <w:rsid w:val="00CF2508"/>
    <w:rsid w:val="00CF5F79"/>
    <w:rsid w:val="00D324AB"/>
    <w:rsid w:val="00D34696"/>
    <w:rsid w:val="00D44EE1"/>
    <w:rsid w:val="00D51568"/>
    <w:rsid w:val="00D7199B"/>
    <w:rsid w:val="00D96DCB"/>
    <w:rsid w:val="00DB6270"/>
    <w:rsid w:val="00DD569B"/>
    <w:rsid w:val="00DF55ED"/>
    <w:rsid w:val="00E00828"/>
    <w:rsid w:val="00E2051A"/>
    <w:rsid w:val="00E40A8A"/>
    <w:rsid w:val="00E52019"/>
    <w:rsid w:val="00E60CC4"/>
    <w:rsid w:val="00E64F7E"/>
    <w:rsid w:val="00E75E2D"/>
    <w:rsid w:val="00E779BD"/>
    <w:rsid w:val="00E77E69"/>
    <w:rsid w:val="00EA77C2"/>
    <w:rsid w:val="00EC4CC2"/>
    <w:rsid w:val="00F91215"/>
    <w:rsid w:val="00FB7CE9"/>
    <w:rsid w:val="00FC04F4"/>
    <w:rsid w:val="00FD0A2F"/>
    <w:rsid w:val="00FD1BEE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2A13-8095-4D6A-AE8A-26D97E7B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3</cp:revision>
  <cp:lastPrinted>2019-11-26T09:09:00Z</cp:lastPrinted>
  <dcterms:created xsi:type="dcterms:W3CDTF">2021-04-06T05:29:00Z</dcterms:created>
  <dcterms:modified xsi:type="dcterms:W3CDTF">2021-04-20T11:02:00Z</dcterms:modified>
</cp:coreProperties>
</file>